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color w:val="ff1616"/>
          <w:sz w:val="27"/>
          <w:szCs w:val="27"/>
          <w:highlight w:val="white"/>
        </w:rPr>
      </w:pPr>
      <w:r w:rsidDel="00000000" w:rsidR="00000000" w:rsidRPr="00000000">
        <w:rPr>
          <w:b w:val="1"/>
          <w:color w:val="ff1616"/>
          <w:sz w:val="27"/>
          <w:szCs w:val="27"/>
          <w:highlight w:val="white"/>
          <w:rtl w:val="0"/>
        </w:rPr>
        <w:t xml:space="preserve">ARTICLE: The United Nations and business: Towards new modes of global governance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ambiguous  overlap   diminish   entitle  applicable 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consequent</w:t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  </w:t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enforce  impact   consistent   extent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The Americans' meddling in the oil market and the </w:t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__________</w:t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 drop in its price is an attempt to influence the outcome of the presidential election next year.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If there is no job, partners are </w:t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to job training plus unemployment benefits lasting up to two years.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While the economy is expected to rebound sharply this year from the </w:t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 of the coronavirus, there is no guarantee that optimism will not be dampened by next year.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When communication is indirect and </w:t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__________</w:t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, chances are much greater that decisions will be made with incomplete or incorrect information, and the conflict will either escalate or be avoided altogether.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Financial and business services, the backbone of UK exports, are only included to a small </w:t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__________</w:t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In terms of policy ideas, there’s considerable </w:t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between the Senate bill and parts of Pelosi’s plan.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The G7 continues to maintain that no global stablecoin project should begin operation until it adequately addresses relevant legal, regulatory, and oversight requirements through appropriate design and by adhering to </w:t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standards.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The Department of Public Health will be responsible for </w:t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the new law.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Mr. Biden seems to agree with the Trump administration’s concerns about the ambitions of China in tech and other areas, but he hasn’t said much beyond aiming for a more </w:t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and coherent policy.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The International Monetary Fund projects a 25% decline this year in Venezuela’s GDP, while hyperinflation </w:t>
      </w:r>
      <w:r w:rsidDel="00000000" w:rsidR="00000000" w:rsidRPr="00000000">
        <w:rPr>
          <w:b w:val="1"/>
          <w:color w:val="333333"/>
          <w:sz w:val="27"/>
          <w:szCs w:val="27"/>
          <w:highlight w:val="white"/>
          <w:rtl w:val="0"/>
        </w:rPr>
        <w:t xml:space="preserve">__________ </w:t>
      </w:r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the value of its currency.</w:t>
      </w:r>
    </w:p>
    <w:p w:rsidR="00000000" w:rsidDel="00000000" w:rsidP="00000000" w:rsidRDefault="00000000" w:rsidRPr="00000000" w14:paraId="0000000F">
      <w:pPr>
        <w:rPr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333333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