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ff1616"/>
          <w:sz w:val="27"/>
          <w:szCs w:val="27"/>
          <w:highlight w:val="white"/>
        </w:rPr>
      </w:pPr>
      <w:r w:rsidDel="00000000" w:rsidR="00000000" w:rsidRPr="00000000">
        <w:rPr>
          <w:b w:val="1"/>
          <w:color w:val="ff1616"/>
          <w:sz w:val="27"/>
          <w:szCs w:val="27"/>
          <w:highlight w:val="white"/>
          <w:rtl w:val="0"/>
        </w:rPr>
        <w:t xml:space="preserve">ARTICLE: Business needs to embrace sustainability targets</w:t>
      </w:r>
    </w:p>
    <w:p w:rsidR="00000000" w:rsidDel="00000000" w:rsidP="00000000" w:rsidRDefault="00000000" w:rsidRPr="00000000" w14:paraId="00000002">
      <w:pPr>
        <w:rPr>
          <w:b w:val="1"/>
          <w:color w:val="ff1616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embracing    aligned with   pivotal   insufficient    irrespective of 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proclaimed   precautionary   offset   amend  overhaul </w:t>
      </w:r>
    </w:p>
    <w:p w:rsidR="00000000" w:rsidDel="00000000" w:rsidP="00000000" w:rsidRDefault="00000000" w:rsidRPr="00000000" w14:paraId="00000005">
      <w:pPr>
        <w:ind w:left="0" w:firstLine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Both chambers of Parliament need to agree on necessary changes to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electoral law in line with the court’s verdict.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Goldman Sachs expects the economy to expand this year at an annual rate of 7 percent, the fastest pace since President Ronald Reagan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“morning again in America” in 1984.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President Biden announced an abrupt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two weeks ago to funnel more money to very small companies, some of which qualified for loans as small as $1 under the old guidelines.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More than 80 percent of companies are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 hybrid model whereby employees will be in the office three days a week, according to a new survey by KayoCloud, a real estate technology platform.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Investors such as banks, insurance companies and investment funds should also disclose how their choices are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climate goals.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As a result, some public health experts and U.S. health officials viewed those studies as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to tell how well the vaccine worked.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EU package also clarifies the bloc’s rules on state aid to banks during economic shocks, known as “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measures”.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push to online sales helped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disruption to business from the pandemic restrictions.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China policy,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ongoing bilateral trade issues, is centered on the opening up of the local financial services industry to global participation.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That particular meeting between President Trump and President Xi was a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moment where something needed to get done.</w:t>
      </w:r>
    </w:p>
    <w:p w:rsidR="00000000" w:rsidDel="00000000" w:rsidP="00000000" w:rsidRDefault="00000000" w:rsidRPr="00000000" w14:paraId="00000010">
      <w:pPr>
        <w:ind w:left="720" w:firstLine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